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FE5D" w14:textId="340B2D46" w:rsidR="00E07B9A" w:rsidRDefault="000E4B49">
      <w:r w:rsidRPr="000E4B49">
        <w:t>Bolsas implementadas Jan-2020 a Mai-2021</w:t>
      </w:r>
    </w:p>
    <w:p w14:paraId="2BD4AC13" w14:textId="77777777" w:rsidR="000E4B49" w:rsidRDefault="000E4B49"/>
    <w:sectPr w:rsidR="000E4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49"/>
    <w:rsid w:val="000E4B49"/>
    <w:rsid w:val="00372BD4"/>
    <w:rsid w:val="00E0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C451"/>
  <w15:chartTrackingRefBased/>
  <w15:docId w15:val="{22BA02B8-60DC-4F1B-98F6-8102CB63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Batista Teixeira</dc:creator>
  <cp:keywords/>
  <dc:description/>
  <cp:lastModifiedBy>Marconi Batista Teixeira</cp:lastModifiedBy>
  <cp:revision>1</cp:revision>
  <dcterms:created xsi:type="dcterms:W3CDTF">2021-06-23T18:05:00Z</dcterms:created>
  <dcterms:modified xsi:type="dcterms:W3CDTF">2021-06-23T18:36:00Z</dcterms:modified>
</cp:coreProperties>
</file>